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C9" w:rsidRDefault="00DB73C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B73C9" w:rsidRDefault="00DB73C9">
      <w:pPr>
        <w:pStyle w:val="ConsPlusNormal"/>
        <w:jc w:val="both"/>
        <w:outlineLvl w:val="0"/>
      </w:pPr>
    </w:p>
    <w:p w:rsidR="00DB73C9" w:rsidRDefault="00DB73C9">
      <w:pPr>
        <w:pStyle w:val="ConsPlusTitle"/>
        <w:jc w:val="center"/>
      </w:pPr>
      <w:r>
        <w:t>ФЕДЕРАЛЬНАЯ АНТИМОНОПОЛЬНАЯ СЛУЖБА</w:t>
      </w:r>
    </w:p>
    <w:p w:rsidR="00DB73C9" w:rsidRDefault="00DB73C9">
      <w:pPr>
        <w:pStyle w:val="ConsPlusTitle"/>
        <w:jc w:val="center"/>
      </w:pPr>
    </w:p>
    <w:p w:rsidR="00DB73C9" w:rsidRDefault="00DB73C9">
      <w:pPr>
        <w:pStyle w:val="ConsPlusTitle"/>
        <w:jc w:val="center"/>
      </w:pPr>
      <w:r>
        <w:t>ПИСЬМО</w:t>
      </w:r>
    </w:p>
    <w:p w:rsidR="00DB73C9" w:rsidRDefault="00DB73C9">
      <w:pPr>
        <w:pStyle w:val="ConsPlusTitle"/>
        <w:jc w:val="center"/>
      </w:pPr>
      <w:r>
        <w:t>от 26 марта 2024 г. N 28/25182/24</w:t>
      </w:r>
    </w:p>
    <w:p w:rsidR="00DB73C9" w:rsidRDefault="00DB73C9">
      <w:pPr>
        <w:pStyle w:val="ConsPlusTitle"/>
        <w:jc w:val="center"/>
      </w:pPr>
    </w:p>
    <w:p w:rsidR="00DB73C9" w:rsidRDefault="00DB73C9">
      <w:pPr>
        <w:pStyle w:val="ConsPlusTitle"/>
        <w:jc w:val="center"/>
      </w:pPr>
      <w:r>
        <w:t>О РАССМОТРЕНИИ ОБРАЩЕНИЯ</w:t>
      </w:r>
    </w:p>
    <w:p w:rsidR="00DB73C9" w:rsidRDefault="00DB73C9">
      <w:pPr>
        <w:pStyle w:val="ConsPlusNormal"/>
        <w:ind w:firstLine="540"/>
        <w:jc w:val="both"/>
      </w:pPr>
    </w:p>
    <w:p w:rsidR="00DB73C9" w:rsidRDefault="00DB73C9">
      <w:pPr>
        <w:pStyle w:val="ConsPlusNormal"/>
        <w:ind w:firstLine="540"/>
        <w:jc w:val="both"/>
      </w:pPr>
      <w:proofErr w:type="gramStart"/>
      <w:r>
        <w:t xml:space="preserve">ФАС России сообщает, что в соответствии с </w:t>
      </w:r>
      <w:hyperlink r:id="rId6">
        <w:r>
          <w:rPr>
            <w:color w:val="0000FF"/>
          </w:rPr>
          <w:t>частью 2 статьи 99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контроль в сфере закупок органами контроля, указанными в </w:t>
      </w:r>
      <w:hyperlink r:id="rId7">
        <w:r>
          <w:rPr>
            <w:color w:val="0000FF"/>
          </w:rPr>
          <w:t>пункте 1 части 1 статьи 99</w:t>
        </w:r>
      </w:hyperlink>
      <w:r>
        <w:t xml:space="preserve"> Закона о контрактной системе, осуществляется в отношении заказчиков, контрактных</w:t>
      </w:r>
      <w:proofErr w:type="gramEnd"/>
      <w:r>
        <w:t xml:space="preserve">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"ВЭБ</w:t>
      </w:r>
      <w:proofErr w:type="gramStart"/>
      <w:r>
        <w:t>.Р</w:t>
      </w:r>
      <w:proofErr w:type="gramEnd"/>
      <w:r>
        <w:t xml:space="preserve">Ф", региональных гарантийных организаций при осуществлении такими банками, корпорацией, гарантийными организациями действий, предусмотренных </w:t>
      </w:r>
      <w:hyperlink r:id="rId8">
        <w:r>
          <w:rPr>
            <w:color w:val="0000FF"/>
          </w:rPr>
          <w:t>Законом</w:t>
        </w:r>
      </w:hyperlink>
      <w:r>
        <w:t xml:space="preserve"> о контрактной системе, в соответствии с порядком, установленным Правительством Российской Федерации.</w:t>
      </w:r>
    </w:p>
    <w:p w:rsidR="00DB73C9" w:rsidRDefault="00DB73C9">
      <w:pPr>
        <w:pStyle w:val="ConsPlusNormal"/>
        <w:spacing w:before="220"/>
        <w:ind w:firstLine="540"/>
        <w:jc w:val="both"/>
      </w:pPr>
      <w:r>
        <w:t xml:space="preserve">Таким образом, </w:t>
      </w:r>
      <w:hyperlink r:id="rId9">
        <w:r>
          <w:rPr>
            <w:color w:val="0000FF"/>
          </w:rPr>
          <w:t>Законом</w:t>
        </w:r>
      </w:hyperlink>
      <w:r>
        <w:t xml:space="preserve"> о контрактной системе предусмотрен механизм </w:t>
      </w:r>
      <w:proofErr w:type="gramStart"/>
      <w:r>
        <w:t>контроля за</w:t>
      </w:r>
      <w:proofErr w:type="gramEnd"/>
      <w:r>
        <w:t xml:space="preserve"> действиями банков при осуществлении такими банками действий, предусмотренных </w:t>
      </w:r>
      <w:hyperlink r:id="rId10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DB73C9" w:rsidRDefault="00DB73C9">
      <w:pPr>
        <w:pStyle w:val="ConsPlusNormal"/>
        <w:spacing w:before="220"/>
        <w:ind w:firstLine="540"/>
        <w:jc w:val="both"/>
      </w:pPr>
      <w:hyperlink r:id="rId11">
        <w:proofErr w:type="gramStart"/>
        <w:r>
          <w:rPr>
            <w:color w:val="0000FF"/>
          </w:rPr>
          <w:t>Частью 8.2 статьи 45</w:t>
        </w:r>
      </w:hyperlink>
      <w:r>
        <w:t xml:space="preserve"> Закона о контрактной системе предусмотрено, что дополнительные требования к независимой гарантии, используемой для целей </w:t>
      </w:r>
      <w:hyperlink r:id="rId12">
        <w:r>
          <w:rPr>
            <w:color w:val="0000FF"/>
          </w:rPr>
          <w:t>Закона</w:t>
        </w:r>
      </w:hyperlink>
      <w:r>
        <w:t xml:space="preserve"> о контрактной системе, порядок ведения и размещения в единой информационной системе реестра независимых гарантий, порядок формирования и ведения закрытого реестра независимых гарантий, в том числе включения в него информации, порядок и сроки предоставления выписок из него, типовая форма независимой гарантии, используемой</w:t>
      </w:r>
      <w:proofErr w:type="gramEnd"/>
      <w:r>
        <w:t xml:space="preserve"> для целей </w:t>
      </w:r>
      <w:hyperlink r:id="rId13">
        <w:r>
          <w:rPr>
            <w:color w:val="0000FF"/>
          </w:rPr>
          <w:t>Закона</w:t>
        </w:r>
      </w:hyperlink>
      <w:r>
        <w:t xml:space="preserve"> о контрактной системе, форма требования об уплате денежной суммы по независимой гарантии устанавливаются Правительством Российской Федерации.</w:t>
      </w:r>
    </w:p>
    <w:p w:rsidR="00DB73C9" w:rsidRDefault="00DB73C9">
      <w:pPr>
        <w:pStyle w:val="ConsPlusNormal"/>
        <w:spacing w:before="220"/>
        <w:ind w:firstLine="540"/>
        <w:jc w:val="both"/>
      </w:pPr>
      <w:proofErr w:type="gramStart"/>
      <w:r>
        <w:t xml:space="preserve">Постановлением Правительства Российской Федерации от 08.11.2013 N 1005 "О независимых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(далее - Постановление N 1005) утверждены, в том числе дополнительные </w:t>
      </w:r>
      <w:hyperlink r:id="rId14">
        <w:r>
          <w:rPr>
            <w:color w:val="0000FF"/>
          </w:rPr>
          <w:t>требования</w:t>
        </w:r>
      </w:hyperlink>
      <w:r>
        <w:t xml:space="preserve"> к независимой гарантии, используемой для целей Закона о контрактной системе, типовая форма, предоставляемой в качестве обеспечения заявки на участие</w:t>
      </w:r>
      <w:proofErr w:type="gramEnd"/>
      <w:r>
        <w:t xml:space="preserve"> в закупке товара, работы, услуги для обеспечения государственных и муниципальных нужд, а также типовая </w:t>
      </w:r>
      <w:hyperlink r:id="rId15">
        <w:r>
          <w:rPr>
            <w:color w:val="0000FF"/>
          </w:rPr>
          <w:t>форма</w:t>
        </w:r>
      </w:hyperlink>
      <w:r>
        <w:t xml:space="preserve"> независимой гарантии, предоставляемой в качестве обеспечения исполнения контракта (далее соответственно - Дополнительные требования, Типовые формы).</w:t>
      </w:r>
    </w:p>
    <w:p w:rsidR="00DB73C9" w:rsidRDefault="00DB73C9">
      <w:pPr>
        <w:pStyle w:val="ConsPlusNormal"/>
        <w:spacing w:before="220"/>
        <w:ind w:firstLine="540"/>
        <w:jc w:val="both"/>
      </w:pPr>
      <w:r>
        <w:t xml:space="preserve">ФАС России сообщает, что по результатам проведения контрольных мероприятий на основании жалоб и обращений участников закупок в действиях банков ФАС России устанавливались нарушения </w:t>
      </w:r>
      <w:hyperlink r:id="rId16">
        <w:r>
          <w:rPr>
            <w:color w:val="0000FF"/>
          </w:rPr>
          <w:t>части 8.2 статьи 45</w:t>
        </w:r>
      </w:hyperlink>
      <w:r>
        <w:t xml:space="preserve"> Закона о контрактной системе, </w:t>
      </w:r>
      <w:proofErr w:type="gramStart"/>
      <w:r>
        <w:t>выразившиеся</w:t>
      </w:r>
      <w:proofErr w:type="gramEnd"/>
      <w:r>
        <w:t xml:space="preserve"> в том числе в выдаче независимых гарантий, несоответствующих Типовым </w:t>
      </w:r>
      <w:hyperlink r:id="rId17">
        <w:r>
          <w:rPr>
            <w:color w:val="0000FF"/>
          </w:rPr>
          <w:t>формам</w:t>
        </w:r>
      </w:hyperlink>
      <w:r>
        <w:t xml:space="preserve">, Дополнительным </w:t>
      </w:r>
      <w:hyperlink r:id="rId18">
        <w:r>
          <w:rPr>
            <w:color w:val="0000FF"/>
          </w:rPr>
          <w:t>требованиям</w:t>
        </w:r>
      </w:hyperlink>
      <w:r>
        <w:t xml:space="preserve"> и положениям </w:t>
      </w:r>
      <w:hyperlink r:id="rId19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:rsidR="00DB73C9" w:rsidRDefault="00DB73C9">
      <w:pPr>
        <w:pStyle w:val="ConsPlusNormal"/>
        <w:spacing w:before="220"/>
        <w:ind w:firstLine="540"/>
        <w:jc w:val="both"/>
      </w:pPr>
      <w:r>
        <w:t xml:space="preserve">Таким образом, в случае если при осуществлении закупок товаров, работ, услуг нарушаются права и законные интересы участника закупки, такое лицо вправе обратиться с жалобой в ФАС России в порядке, предусмотренном </w:t>
      </w:r>
      <w:hyperlink r:id="rId20">
        <w:r>
          <w:rPr>
            <w:color w:val="0000FF"/>
          </w:rPr>
          <w:t>главой 6</w:t>
        </w:r>
      </w:hyperlink>
      <w:r>
        <w:t xml:space="preserve"> Закона о контрактной системе.</w:t>
      </w:r>
    </w:p>
    <w:p w:rsidR="00DB73C9" w:rsidRDefault="00DB73C9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Кроме того, ФАС России направлены в адрес Президента Ассоциации банков "Россия" Г.И. Лунтовского, Президента Ассоциации российских банков Г.А. Тосуняна письма от 21.11.2022 N N ПИ/105307/22, ПИ/105297/22 о необходимости соблюдения банками требований, предусмотренных </w:t>
      </w:r>
      <w:hyperlink r:id="rId21">
        <w:r>
          <w:rPr>
            <w:color w:val="0000FF"/>
          </w:rPr>
          <w:t>статьей 45</w:t>
        </w:r>
      </w:hyperlink>
      <w:r>
        <w:t xml:space="preserve"> Закона о контрактной системе, </w:t>
      </w:r>
      <w:hyperlink r:id="rId22">
        <w:r>
          <w:rPr>
            <w:color w:val="0000FF"/>
          </w:rPr>
          <w:t>Постановлением</w:t>
        </w:r>
      </w:hyperlink>
      <w:r>
        <w:t xml:space="preserve"> N 1005, при выдаче независимых гарантий (прилагается).</w:t>
      </w:r>
      <w:proofErr w:type="gramEnd"/>
    </w:p>
    <w:p w:rsidR="00DB73C9" w:rsidRDefault="00DB73C9">
      <w:pPr>
        <w:pStyle w:val="ConsPlusNormal"/>
        <w:spacing w:before="220"/>
        <w:ind w:firstLine="540"/>
        <w:jc w:val="both"/>
      </w:pPr>
      <w:r>
        <w:t xml:space="preserve">Дополнительно ФАС России отмечает, что банк не отнесен к предусмотренным </w:t>
      </w:r>
      <w:hyperlink r:id="rId23">
        <w:r>
          <w:rPr>
            <w:color w:val="0000FF"/>
          </w:rPr>
          <w:t>частью 10 статьи 3</w:t>
        </w:r>
      </w:hyperlink>
      <w:r>
        <w:t xml:space="preserve"> Федерального закона от 18.07.2011 N 223-ФЗ "О закупках товаров, работ, услуг отдельными видами юридических лиц" (далее - Закон о закупках) субъектам контроля, в </w:t>
      </w:r>
      <w:proofErr w:type="gramStart"/>
      <w:r>
        <w:t>связи</w:t>
      </w:r>
      <w:proofErr w:type="gramEnd"/>
      <w:r>
        <w:t xml:space="preserve"> с чем проведение контрольных мероприятий в отношении действий банка, выдавшего ненадлежащую банковскую гарантию для целей участия в закупке, осуществляемой в соответствии с положениями </w:t>
      </w:r>
      <w:hyperlink r:id="rId24">
        <w:r>
          <w:rPr>
            <w:color w:val="0000FF"/>
          </w:rPr>
          <w:t>Закона</w:t>
        </w:r>
      </w:hyperlink>
      <w:r>
        <w:t xml:space="preserve"> о закупках, не представляется возможным в силу отсутствия полномочий.</w:t>
      </w:r>
    </w:p>
    <w:p w:rsidR="00DB73C9" w:rsidRDefault="00DB73C9">
      <w:pPr>
        <w:pStyle w:val="ConsPlusNormal"/>
        <w:ind w:firstLine="540"/>
        <w:jc w:val="both"/>
      </w:pPr>
    </w:p>
    <w:p w:rsidR="00DB73C9" w:rsidRDefault="00DB73C9">
      <w:pPr>
        <w:pStyle w:val="ConsPlusNormal"/>
        <w:jc w:val="right"/>
      </w:pPr>
      <w:r>
        <w:t>Начальник</w:t>
      </w:r>
    </w:p>
    <w:p w:rsidR="00DB73C9" w:rsidRDefault="00DB73C9">
      <w:pPr>
        <w:pStyle w:val="ConsPlusNormal"/>
        <w:jc w:val="right"/>
      </w:pPr>
      <w:r>
        <w:t>Управления контроля размещения</w:t>
      </w:r>
    </w:p>
    <w:p w:rsidR="00DB73C9" w:rsidRDefault="00DB73C9">
      <w:pPr>
        <w:pStyle w:val="ConsPlusNormal"/>
        <w:jc w:val="right"/>
      </w:pPr>
      <w:r>
        <w:t>государственного заказа</w:t>
      </w:r>
    </w:p>
    <w:p w:rsidR="00DB73C9" w:rsidRDefault="00DB73C9">
      <w:pPr>
        <w:pStyle w:val="ConsPlusNormal"/>
        <w:jc w:val="right"/>
      </w:pPr>
      <w:r>
        <w:t>О.В.ГОРБАЧЕВА</w:t>
      </w:r>
    </w:p>
    <w:p w:rsidR="00DB73C9" w:rsidRDefault="00DB73C9">
      <w:pPr>
        <w:pStyle w:val="ConsPlusNormal"/>
        <w:jc w:val="both"/>
      </w:pPr>
    </w:p>
    <w:p w:rsidR="00DB73C9" w:rsidRDefault="00DB73C9">
      <w:pPr>
        <w:pStyle w:val="ConsPlusNormal"/>
        <w:jc w:val="both"/>
      </w:pPr>
    </w:p>
    <w:p w:rsidR="00DB73C9" w:rsidRDefault="00DB73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4AE2" w:rsidRDefault="00664AE2">
      <w:bookmarkStart w:id="0" w:name="_GoBack"/>
      <w:bookmarkEnd w:id="0"/>
    </w:p>
    <w:sectPr w:rsidR="00664AE2" w:rsidSect="0095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C9"/>
    <w:rsid w:val="00664AE2"/>
    <w:rsid w:val="00DB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3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73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73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3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73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73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" TargetMode="External"/><Relationship Id="rId13" Type="http://schemas.openxmlformats.org/officeDocument/2006/relationships/hyperlink" Target="https://login.consultant.ru/link/?req=doc&amp;base=LAW&amp;n=483361" TargetMode="External"/><Relationship Id="rId18" Type="http://schemas.openxmlformats.org/officeDocument/2006/relationships/hyperlink" Target="https://login.consultant.ru/link/?req=doc&amp;base=LAW&amp;n=494937&amp;dst=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361&amp;dst=2440" TargetMode="External"/><Relationship Id="rId7" Type="http://schemas.openxmlformats.org/officeDocument/2006/relationships/hyperlink" Target="https://login.consultant.ru/link/?req=doc&amp;base=LAW&amp;n=483361&amp;dst=12242" TargetMode="External"/><Relationship Id="rId12" Type="http://schemas.openxmlformats.org/officeDocument/2006/relationships/hyperlink" Target="https://login.consultant.ru/link/?req=doc&amp;base=LAW&amp;n=483361" TargetMode="External"/><Relationship Id="rId17" Type="http://schemas.openxmlformats.org/officeDocument/2006/relationships/hyperlink" Target="https://login.consultant.ru/link/?req=doc&amp;base=LAW&amp;n=494937&amp;dst=18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361&amp;dst=12069" TargetMode="External"/><Relationship Id="rId20" Type="http://schemas.openxmlformats.org/officeDocument/2006/relationships/hyperlink" Target="https://login.consultant.ru/link/?req=doc&amp;base=LAW&amp;n=483361&amp;dst=307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&amp;dst=3044" TargetMode="External"/><Relationship Id="rId11" Type="http://schemas.openxmlformats.org/officeDocument/2006/relationships/hyperlink" Target="https://login.consultant.ru/link/?req=doc&amp;base=LAW&amp;n=483361&amp;dst=12069" TargetMode="External"/><Relationship Id="rId24" Type="http://schemas.openxmlformats.org/officeDocument/2006/relationships/hyperlink" Target="https://login.consultant.ru/link/?req=doc&amp;base=LAW&amp;n=48305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4937&amp;dst=180" TargetMode="External"/><Relationship Id="rId23" Type="http://schemas.openxmlformats.org/officeDocument/2006/relationships/hyperlink" Target="https://login.consultant.ru/link/?req=doc&amp;base=LAW&amp;n=483052&amp;dst=100151" TargetMode="External"/><Relationship Id="rId10" Type="http://schemas.openxmlformats.org/officeDocument/2006/relationships/hyperlink" Target="https://login.consultant.ru/link/?req=doc&amp;base=LAW&amp;n=483361" TargetMode="External"/><Relationship Id="rId19" Type="http://schemas.openxmlformats.org/officeDocument/2006/relationships/hyperlink" Target="https://login.consultant.ru/link/?req=doc&amp;base=LAW&amp;n=483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" TargetMode="External"/><Relationship Id="rId14" Type="http://schemas.openxmlformats.org/officeDocument/2006/relationships/hyperlink" Target="https://login.consultant.ru/link/?req=doc&amp;base=LAW&amp;n=494937&amp;dst=34" TargetMode="External"/><Relationship Id="rId22" Type="http://schemas.openxmlformats.org/officeDocument/2006/relationships/hyperlink" Target="https://login.consultant.ru/link/?req=doc&amp;base=LAW&amp;n=49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2025-06-03T08:08:00Z</dcterms:created>
  <dcterms:modified xsi:type="dcterms:W3CDTF">2025-06-03T08:08:00Z</dcterms:modified>
</cp:coreProperties>
</file>